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926" w:rsidRPr="00525926" w:rsidRDefault="00525926" w:rsidP="00525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</w:p>
    <w:p w:rsidR="00525926" w:rsidRPr="00525926" w:rsidRDefault="00525926" w:rsidP="00525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25926" w:rsidRPr="00525926" w:rsidRDefault="00525926" w:rsidP="0052592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Утверждена</w:t>
      </w:r>
    </w:p>
    <w:p w:rsidR="00525926" w:rsidRPr="00525926" w:rsidRDefault="00525926" w:rsidP="0052592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</w:t>
      </w:r>
    </w:p>
    <w:p w:rsidR="00525926" w:rsidRPr="00525926" w:rsidRDefault="00525926" w:rsidP="0052592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Тере-Хольского кожууна</w:t>
      </w:r>
    </w:p>
    <w:p w:rsidR="00525926" w:rsidRPr="00525926" w:rsidRDefault="00A73625" w:rsidP="00525926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«12» ноября 2021</w:t>
      </w:r>
      <w:r w:rsidR="00525926"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___</w:t>
      </w:r>
    </w:p>
    <w:p w:rsidR="00525926" w:rsidRPr="00525926" w:rsidRDefault="00525926" w:rsidP="005259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tabs>
          <w:tab w:val="left" w:pos="5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МУНИЦИПАЛЬНАЯ ПРОГРАММА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муниципального района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«Тере-Хольский кожуун Республики Тыва»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«Комплексное развитие сельских территорий в </w:t>
      </w:r>
      <w:r w:rsidR="00A7362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Тере-Хольском кожууне на 2022-2024</w:t>
      </w:r>
      <w:r w:rsidRPr="005259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годы»</w:t>
      </w:r>
    </w:p>
    <w:p w:rsidR="00525926" w:rsidRPr="00525926" w:rsidRDefault="00525926" w:rsidP="00525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926" w:rsidRPr="00525926" w:rsidRDefault="00525926" w:rsidP="005259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Паспорт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 " Комплексное развитие сельских территорий</w:t>
      </w:r>
      <w:r w:rsidR="00A736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Тере-Хольском кожууне на 2022-2024</w:t>
      </w: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годы"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</w:t>
      </w: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8"/>
        <w:gridCol w:w="1169"/>
        <w:gridCol w:w="1984"/>
        <w:gridCol w:w="1134"/>
        <w:gridCol w:w="1276"/>
        <w:gridCol w:w="1267"/>
        <w:gridCol w:w="8"/>
      </w:tblGrid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Комплексное развитие сельских территорий в </w:t>
            </w:r>
            <w:r w:rsidR="009F67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Тере-Хольском кожууне на 2022-2024</w:t>
            </w: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Заказчик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муниципального района «Тере-Хольский кожуун Республики Тыва»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Цели и задачи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Цель: </w:t>
            </w: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создание комфортных условий жизнедеятельности в сельской местности;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-формирование позитивного отношения к селу и сельскому образу жизни;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-расширение сфер занятости и источником формирования доходов граждан, проживающих в сельской местности.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Задачи: </w:t>
            </w:r>
            <w:proofErr w:type="gramStart"/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-у</w:t>
            </w:r>
            <w:proofErr w:type="gramEnd"/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довлетворение потребностей граждан, проживающих в сельской местности, в том числе молодых семей и молодых специалистов;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-повышение уровня социально-инженерного обустройства села;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-поощрение и популяризация достижений в сфере сельского развития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Основные разработчики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26" w:rsidRPr="00525926" w:rsidRDefault="00525926" w:rsidP="00525926">
            <w:pPr>
              <w:spacing w:after="0" w:line="240" w:lineRule="auto"/>
              <w:ind w:left="121" w:firstLine="426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 председателя администрации по экономике Тере-Хольского кожууна</w:t>
            </w:r>
            <w:r w:rsidRPr="0052592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525926" w:rsidRPr="00525926" w:rsidRDefault="00525926" w:rsidP="00525926">
            <w:pPr>
              <w:spacing w:after="0" w:line="240" w:lineRule="auto"/>
              <w:ind w:left="121" w:firstLine="426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 реализации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9F67E9" w:rsidP="00525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2022-2024</w:t>
            </w:r>
            <w:r w:rsidR="00525926"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гг.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Перечень основных мероприятий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Улучшение жилищных условий граждан, проживающих в сельской местности, в том числе молодых семей и молодых специалистов;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строительство служебного жилья по договору найма;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развитие социальной и инженерной инфраструктуры, строительства и </w:t>
            </w:r>
            <w:proofErr w:type="gramStart"/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реконструкции</w:t>
            </w:r>
            <w:proofErr w:type="gramEnd"/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автомобильных дорог в сельской местности;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поддержка комплексной компактной застройки и благоустройства сельских поселений в рамках пилотных проектов;</w:t>
            </w:r>
          </w:p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поддержка местных инициатив, направленных на улучшение условий жизнедеятельности граждан, проживающих в сельской местности.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Основные </w:t>
            </w: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исполнители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Главный специалист по сельскому хозяйству Тере-</w:t>
            </w: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Хольского кожууна </w:t>
            </w:r>
          </w:p>
        </w:tc>
      </w:tr>
      <w:tr w:rsidR="00525926" w:rsidRPr="00525926" w:rsidTr="00525926">
        <w:trPr>
          <w:gridAfter w:val="1"/>
          <w:wAfter w:w="8" w:type="dxa"/>
          <w:trHeight w:val="865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Объёмы и источники финансирования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Общий объём финансирования, тыс.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9A3A79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9A3A79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9A3A79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2024</w:t>
            </w:r>
          </w:p>
        </w:tc>
      </w:tr>
      <w:tr w:rsidR="00525926" w:rsidRPr="00525926" w:rsidTr="00525926">
        <w:trPr>
          <w:gridAfter w:val="1"/>
          <w:wAfter w:w="8" w:type="dxa"/>
          <w:trHeight w:val="484"/>
        </w:trPr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ФБ, РБ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12052,3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1951,3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5050,5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5050,5</w:t>
            </w:r>
          </w:p>
        </w:tc>
      </w:tr>
      <w:tr w:rsidR="00525926" w:rsidRPr="00525926" w:rsidTr="00525926">
        <w:tc>
          <w:tcPr>
            <w:tcW w:w="2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390,3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1010,1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sz w:val="26"/>
                <w:szCs w:val="26"/>
                <w:lang w:eastAsia="ru-RU"/>
              </w:rPr>
              <w:t>1010,1</w:t>
            </w:r>
          </w:p>
        </w:tc>
      </w:tr>
      <w:tr w:rsidR="00525926" w:rsidRPr="00525926" w:rsidTr="00525926"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26" w:rsidRPr="00525926" w:rsidRDefault="00525926" w:rsidP="0052592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2592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14102,8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  <w:t>2341,6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  <w:t>6060,6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926" w:rsidRPr="00525926" w:rsidRDefault="00525926" w:rsidP="00525926">
            <w:pPr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</w:pPr>
            <w:r w:rsidRPr="00525926">
              <w:rPr>
                <w:rFonts w:ascii="Calibri" w:eastAsia="Times New Roman" w:hAnsi="Calibri" w:cs="Times New Roman"/>
                <w:b/>
                <w:sz w:val="26"/>
                <w:szCs w:val="26"/>
                <w:lang w:eastAsia="ru-RU"/>
              </w:rPr>
              <w:t>6060,6</w:t>
            </w:r>
          </w:p>
        </w:tc>
      </w:tr>
      <w:tr w:rsidR="00525926" w:rsidRPr="00525926" w:rsidTr="00525926">
        <w:trPr>
          <w:gridAfter w:val="1"/>
          <w:wAfter w:w="8" w:type="dxa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52592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ходом реализации Программы</w:t>
            </w:r>
          </w:p>
        </w:tc>
        <w:tc>
          <w:tcPr>
            <w:tcW w:w="683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5926" w:rsidRPr="00525926" w:rsidRDefault="00525926" w:rsidP="0052592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</w:t>
            </w:r>
            <w:proofErr w:type="gramEnd"/>
            <w:r w:rsidRPr="005259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реализацией подпрограммы осуществляют председатель муниципального района «Тере-Хольский кожуун Республики Тыва.</w:t>
            </w:r>
          </w:p>
        </w:tc>
      </w:tr>
    </w:tbl>
    <w:p w:rsidR="00525926" w:rsidRPr="00525926" w:rsidRDefault="00525926" w:rsidP="0052592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Подпрограммы "Комплексное развитие сельских территорий </w:t>
      </w:r>
      <w:r w:rsidR="009A3A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Тере-Хольском кожууне на 2022-2024</w:t>
      </w:r>
      <w:r w:rsidRPr="005259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годы"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Для успешного решения стратегических задач по наращиванию экономического потенциала аграрного сектора и реализации приоритетного национального проекта «Развитие агропромышленного комплекса» требуется системный подход, важнейшей частью которого является осуществление мер по повышению уровня и качества жизни на селе, преодоление дефицита специалистов и квалифицированных рабочих в сельском хозяйстве и других отраслях экономики села.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Для устойчивого социально-экономического развития сельских муниципальных образований, эффективного функционирования агропромышленного производства и обеспечения продовольственной безопасности, выполнения селом демографической, </w:t>
      </w:r>
      <w:proofErr w:type="spell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трудоресурсной</w:t>
      </w:r>
      <w:proofErr w:type="spell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культурной, природоохранной и других функций необходима государственная поддержка развития сельской социальной сферы и инженерной инфраструктуры, строительство и реконструкция автомобильных дорог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переработки сельскохозяйственной продукции, создание для сельского населения нормальных условий жизнедеятельности, развитие несельскохозяйственных видов деятельности в сельской местности, расширение рынков труда и его привлекательности для сельского социума, развитие процессов демократизации и самоуправления в сельской местности с целью активации человеческого потенциала и повышения благосостояния местного населения.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Основным преимуществом подпрограммы является использование положительного опыта применения программно-целевого метода при решении проблем развития сельских территорий в рамках реализации республиканской 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целевой программы. Для дальнейшего развития сельских территорий необходима пролонгация программно-целевого подхода, используемого при реализации республиканской целевой программы, с расширением его диапазона, обеспечением более высокого уровня государственной поддержки, усилением координации принимаемых мер, повышением эффективности использования ресурсов.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Цели и задачи подпрограммы.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Подпрограмма разработана для достижения следующих целей: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создание комфортных условий жизнедеятельности в сельской местности;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-формирование позитивного отношения к селу и сельскому образу жизни;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-расширение сфер занятости и источником формирования доходов граждан, проживающих в сельской местности.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достижения поставленных целей предусматривается решение следующих задач: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-удовлетворение потребностей граждан, проживающих в сельской местности, в том числе молодых семей и молодых специалистов;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-повышение уровня социально-инженерного обустройства села;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-поощрение и популяризация достижений в сфере сельского развития.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Мероприятия подпрограммы.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Улучшение жилищных условий граждан, проживающих в сельской местности, в том числе молодых семей и молодых специалистов.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Целю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мероприятия является улучшение жилищных условий граждан, проживающих в сельской местности, в том числе молодых семей и молодых специалистов, привлечение и закрепление на селе молодых специалистов и улучшение демографической ситуации в сельской местности. Реализация мероприятий предполагается осуществлять путем предоставления социальных выплат за счет средств федерального бюджета, республиканского бюджета Республики Тыва и местных бюджетов на строительство и приобретение жилья в сельской местности. Средства предоставляются на безвозвратной основе на условиях софинансирования муниципальных образований и привлеченных внебюджетных источников. За счет всех бюджетных источников предусматривается предоставление социальных выплат в размере не более 70 процентов расчетной стоимости строительства (приобретения) жилья. Финансирование оставшейся части стоимости строительства (приобретения) жилья осуществляется за счет собственных (заемных) сре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дств гр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аждан, молодых семей и молодых специалистов или средств работодателей.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Реализация этих мероприятий позволит: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-улучшить жилищные условия семей, проживающих в сельской местности, в том числе молодых семей и молодых специалистов, повысить уровень коммунального обустройства жилья в сельской местности;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-привлечь для финансового обеспечения внебюджетные источники финансирования.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Развитие социальной и инженерной инфраструктуры, строительства и 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реконструкции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автомобильных дорог в сельской местности.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Целью мероприятия является улучшение территориальной доступности объектов социальной инфраструктуры и повышение уровня инженерного 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оборудования сельского жилищного фонда.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Мероприятия осуществляются по следующим направлениям: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развитие на селе общего образования путем строительства и реконструкции в сельской местности общеобразовательных школ;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улучшение медицинского обслуживания населения путем строительства и реконструкции фельдшерско-акушерских пунктов и развитие физической культуры и спорта путем строительства плоскостных спортивных сооружений;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развитие культурно-досуговой деятельности путем строительства и реконструкции сельских домов культуры;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развитие водоснабжения в сельской местности за счет строительства и реконструкции локальных сетей водопровода и строительства и реконструкции глубинных скважин;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развитие автономных систем энергообеспечения, используемых возобновляемых и местных энергоресурсов в сельской местности путем приобретения и установки оборудования, работающего за счет солнечных и ветряных источников электроэнергии;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развитие автомобильных дорог путем строительства и реконструкции дорог,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результате реализации мероприятии расширится доступ населения к услугам учреждений здравоохранения за счет строительства фельдшерско-акушерских пунктов и плоскостных спортивных сооружений, образования – за счет увеличения мест в образовательных организациях; повысится уровень обеспеченности учреждениями культуры и отдыха за счет реконструкции и строительства сельских домов культуры; повысится уровень обеспеченности населения жильем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,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питьевой водой – за счет строительства и реконструкции глубинных скважин.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га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указанные цели будут предоставляться в форме субсидий местным бюджетам для софинансирования их расходных обязательств по реализации муниципальных целевых программ.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Порядок и условия предоставления и распределения субсидий республиканского бюджета Республики Тыва местным бюджетам в целях софинансирования мероприятий по комплексному обустройству объектами социальной и инженерной инфраструктуры населенных пунктов, осуществляется в соответствии с правилами предоставления и распределения субсидий из республиканского бюджета Республики Тыва местным бюджетам на комплексное обустройство объектами социальной и инженерной инфраструктуры населенных пунктов, расположенных в сельской местности, на строительство и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реконструкцию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продукции.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Поддержка комплексной компактной застройки и благоустройства сельских 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поселений в рамках пилотных проектов.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Целью мероприятия является создание современной социально-инженерной инфраструктуры для компактного жилищного строительства.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Пилотные проекты предусматривается осуществлять на территориях роста сельскохозяйственного производства, нуждающегося в привлечении дополнительных трудовых ресурсов, в том числе молодых специалистов, обладающих современными знаниями в области новейших технологий агропромышленного комплекса. Отбор пилотных проектов будет осуществляться конкурсной комиссией Министерства сельского хозяйства и продовольствия Республики Тыва на основе критериев отбора пилотных проектов, установленных Министерством сельского хозяйства Российской Федерации.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Реализация мероприятий позволит создать современные социально-инженерные инфраструктуры для компактного жилищного строительства в сельской местности.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Субсидии из республиканского бюджета Республики Тыва местным бюджетам на реализацию проектов комплексного обустройства площадок под компактную жилищную застройку предоставляются проектам, отобранным на конкурсной основе.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Поддержка местных инициатив, направленных на улучшение условий жизнедеятельности граждан, проживающих в сельской местности.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Данное мероприятие осуществляется в целях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:</w:t>
      </w:r>
      <w:proofErr w:type="gramEnd"/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мобилизации собственных материалов, трудовых и финансовых ресурсов отдельных граждан и их объединений, сельских поселений и действующих на их территориях хозяйствующих субъектов для местного развития;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консолидации местных сообществ в решении вопросов благоустройства населенных пунктов и улучшения природной среды обитания, участия в разработке планов их перспективного развития и формирования благоприятного социально-психологического климата на селе;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proofErr w:type="spell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грантовая</w:t>
      </w:r>
      <w:proofErr w:type="spell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поддержка реализации научных исследований в отрасли животноводства по приоритетным направлениям: возобновление </w:t>
      </w:r>
      <w:proofErr w:type="spell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селекционно</w:t>
      </w:r>
      <w:proofErr w:type="spell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-племенной работы, сохранение генофонда аборигенных пород сельскохозяйственных животных, овцеводства, коневодства, скотоводства: в области земледелия – сохранение плодородия почв, кадастровая оценка почв и инновационные технологии возделывания полевых культур.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Поддержку предполагается осуществлять в форме предоставления грантов. Гранты предоставляются в форме субсидии на безвозмездной и безвозвратной основе за счет средств федерального бюджета и республиканского бюджета Республики Тыва на реализации проектов, отобранных на конкурсной основе.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Риски реализации подпрограммы.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реализации целей и задач подпрограммы осуществляются меры, направленные на предотвращение негативного воздействия рисков и повышения уровня гарантированности достижения предусмотренных в ней конечных результатов.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рискам относятся: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макроэкономические факторы, в том числе рост цен на энергоресурсы и другие материально-технические средства, потребление в отрасли, что </w:t>
      </w: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ограничивает важности значительной части сельскохозяйственных товаропроизводителей для осуществления инновационных проектов, перехода к новым ресурсосберегающим технологиям и обеспечения на этой основе реализации модели ускоренного экономического развития;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внешнеторговые риски, связанные с изменением конъюнктуры мирового рынка и возникающими в связи с этими ценовыми колебаниями;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природные риски, связанные с размещением большей части сельскохозяйственного производства в зонах рискованного земледелия, что приводит к существенным потерям объемов производства, ухудшению ценовой ситуации и снижению доходов сельскохозяйственных </w:t>
      </w:r>
      <w:proofErr w:type="spell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товаропроизводитлей</w:t>
      </w:r>
      <w:proofErr w:type="spell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росту импорта продовольственных товаров.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социально-экономической эффективности от реализации подпрограммы.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Реализация подпрограммы позволит сформировать необходимые условия для устойчивого развития сельских территорий. Улучшится инвестиционный климат за счет стимулирования развития несельскохозяйственных форм занятости, будет создана экономическая основа для расширения налогооблагаемой базы и повышения доходов сельского населения, улучшится структура занятости и расширится рынок труда в селе. </w:t>
      </w:r>
    </w:p>
    <w:p w:rsidR="00525926" w:rsidRPr="00525926" w:rsidRDefault="00525926" w:rsidP="00525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 счет развития социальной и инженерной инфраструктуры, строительства и </w:t>
      </w:r>
      <w:proofErr w:type="gram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реконструкции</w:t>
      </w:r>
      <w:proofErr w:type="gram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автомобильных дорог, улучшения жилищных условий граждан произойдут изменения в уровне и качестве жизни населения, повысится престижность сельскохозяйственного труда и проживания в сельской местности. За счет внутренних резервов и привлечения трудовых кадров будут выполнены потребности </w:t>
      </w:r>
      <w:proofErr w:type="spellStart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сельхозтоваропроизводителей</w:t>
      </w:r>
      <w:proofErr w:type="spellEnd"/>
      <w:r w:rsidRPr="0052592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квалифицированных кадрах.</w:t>
      </w:r>
    </w:p>
    <w:p w:rsidR="00525926" w:rsidRPr="00525926" w:rsidRDefault="00525926" w:rsidP="00525926">
      <w:pPr>
        <w:spacing w:after="160" w:line="256" w:lineRule="auto"/>
        <w:rPr>
          <w:rFonts w:ascii="Calibri" w:eastAsia="Calibri" w:hAnsi="Calibri" w:cs="Times New Roman"/>
          <w:sz w:val="26"/>
          <w:szCs w:val="26"/>
        </w:rPr>
      </w:pPr>
    </w:p>
    <w:p w:rsidR="00C702A8" w:rsidRDefault="00C702A8"/>
    <w:sectPr w:rsidR="00C7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5B"/>
    <w:rsid w:val="00091C5B"/>
    <w:rsid w:val="002D2293"/>
    <w:rsid w:val="004B53CC"/>
    <w:rsid w:val="00525926"/>
    <w:rsid w:val="009A3A79"/>
    <w:rsid w:val="009F67E9"/>
    <w:rsid w:val="00A0194E"/>
    <w:rsid w:val="00A73625"/>
    <w:rsid w:val="00C7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2081</Words>
  <Characters>11862</Characters>
  <Application>Microsoft Office Word</Application>
  <DocSecurity>0</DocSecurity>
  <Lines>98</Lines>
  <Paragraphs>27</Paragraphs>
  <ScaleCrop>false</ScaleCrop>
  <Company/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ZANEKONOMIKA</dc:creator>
  <cp:keywords/>
  <dc:description/>
  <cp:lastModifiedBy>user</cp:lastModifiedBy>
  <cp:revision>9</cp:revision>
  <dcterms:created xsi:type="dcterms:W3CDTF">2020-11-10T11:10:00Z</dcterms:created>
  <dcterms:modified xsi:type="dcterms:W3CDTF">2021-11-15T09:11:00Z</dcterms:modified>
</cp:coreProperties>
</file>